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4C5" w:rsidRDefault="001074C5" w:rsidP="001074C5">
      <w:pPr>
        <w:spacing w:after="0"/>
        <w:contextualSpacing/>
      </w:pPr>
      <w:r>
        <w:t>Kotlíkové dotace v kostce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Na co dostanete dotaci: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• zdroj včetně nákladů na jeho instalaci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• nová otopná soustava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• rekonstrukce otopné soustavy včetně nezbytné regulace a měření, úpravy spalinových cest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• finančně méně náročná opatření na snížení energetické náročnosti budovy (max. 20 tis. Kč)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• služby energetického specialisty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• projektová dokumentace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Maximální náklady, ze kterých bude hrazena dotace: 150 tis. Kč (tj. maximální výše dotace 127,5 tis. Kč)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Podporovaná zařízení budou uvedena v závazném seznamu vedeném SFŽP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• Od 20. 7. 2015 lze do závazného seznamu SFŽP zapisovat tepelná čerpadla a kondenzační kotle na zemní plyn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 xml:space="preserve">• Kotle na pevná paliva bude možné na seznam zapisovat po oficiálním zveřejnění nařízení EK k </w:t>
      </w:r>
      <w:proofErr w:type="spellStart"/>
      <w:r>
        <w:t>Ekodesignu</w:t>
      </w:r>
      <w:proofErr w:type="spellEnd"/>
      <w:r>
        <w:t xml:space="preserve"> koncem července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Výše podpory:</w:t>
      </w:r>
      <w:bookmarkStart w:id="0" w:name="_GoBack"/>
      <w:bookmarkEnd w:id="0"/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Kotel výhradně na uhlí 70 %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Kombinovaný kotel (uhlí + biomasa), plynový kotel 75 %</w:t>
      </w:r>
    </w:p>
    <w:p w:rsidR="001074C5" w:rsidRDefault="001074C5" w:rsidP="001074C5">
      <w:pPr>
        <w:spacing w:after="0"/>
        <w:contextualSpacing/>
      </w:pPr>
    </w:p>
    <w:p w:rsidR="001074C5" w:rsidRDefault="001074C5" w:rsidP="001074C5">
      <w:pPr>
        <w:spacing w:after="0"/>
        <w:contextualSpacing/>
      </w:pPr>
      <w:r>
        <w:t>Kotle výhradně na biomasu a tepelná čerpadla 80 %</w:t>
      </w:r>
    </w:p>
    <w:p w:rsidR="001074C5" w:rsidRDefault="001074C5" w:rsidP="001074C5">
      <w:pPr>
        <w:spacing w:after="0"/>
        <w:contextualSpacing/>
      </w:pPr>
    </w:p>
    <w:p w:rsidR="008B71E8" w:rsidRDefault="001074C5" w:rsidP="001074C5">
      <w:pPr>
        <w:spacing w:after="0"/>
        <w:contextualSpacing/>
      </w:pPr>
      <w:r>
        <w:t>+ dalších 5 % pro oblasti se zhoršenou kvalitou ovzduší (seznam měst a obcí se znečištěným ovzduším)</w:t>
      </w:r>
    </w:p>
    <w:sectPr w:rsidR="008B7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C5"/>
    <w:rsid w:val="001074C5"/>
    <w:rsid w:val="008B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58082-9B0A-44F8-8747-C56C9DE1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2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Holková</dc:creator>
  <cp:keywords/>
  <dc:description/>
  <cp:lastModifiedBy>Barbora Holková</cp:lastModifiedBy>
  <cp:revision>1</cp:revision>
  <dcterms:created xsi:type="dcterms:W3CDTF">2015-07-30T08:41:00Z</dcterms:created>
  <dcterms:modified xsi:type="dcterms:W3CDTF">2015-07-30T08:41:00Z</dcterms:modified>
</cp:coreProperties>
</file>